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Pr="00C565AA" w:rsidRDefault="00B2195B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земельного контроля</w:t>
      </w:r>
      <w:r w:rsidR="004D504B">
        <w:rPr>
          <w:rFonts w:ascii="Times New Roman" w:hAnsi="Times New Roman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sz w:val="28"/>
          <w:szCs w:val="28"/>
        </w:rPr>
        <w:t xml:space="preserve">на межселенной территории муниципального образования </w:t>
      </w:r>
      <w:r w:rsidR="004D504B">
        <w:rPr>
          <w:rFonts w:ascii="Times New Roman" w:hAnsi="Times New Roman"/>
          <w:sz w:val="28"/>
          <w:szCs w:val="28"/>
        </w:rPr>
        <w:t>Палочкин</w:t>
      </w:r>
      <w:r w:rsidR="003D5F1B">
        <w:rPr>
          <w:rFonts w:ascii="Times New Roman" w:hAnsi="Times New Roman"/>
          <w:sz w:val="28"/>
          <w:szCs w:val="28"/>
        </w:rPr>
        <w:t xml:space="preserve">ское </w:t>
      </w:r>
      <w:r w:rsidR="004D504B">
        <w:rPr>
          <w:rFonts w:ascii="Times New Roman" w:hAnsi="Times New Roman"/>
          <w:sz w:val="28"/>
          <w:szCs w:val="28"/>
        </w:rPr>
        <w:t>сель</w:t>
      </w:r>
      <w:r w:rsidR="003D5F1B">
        <w:rPr>
          <w:rFonts w:ascii="Times New Roman" w:hAnsi="Times New Roman"/>
          <w:sz w:val="28"/>
          <w:szCs w:val="28"/>
        </w:rPr>
        <w:t>ское поселение</w:t>
      </w:r>
      <w:r w:rsidR="004D504B">
        <w:rPr>
          <w:rFonts w:ascii="Times New Roman" w:hAnsi="Times New Roman"/>
          <w:sz w:val="28"/>
          <w:szCs w:val="28"/>
        </w:rPr>
        <w:t xml:space="preserve"> Верхнекетского района Томской области </w:t>
      </w: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>объектов земельного контроля</w:t>
      </w:r>
      <w:r w:rsidR="00A536E4">
        <w:rPr>
          <w:rFonts w:ascii="Times New Roman" w:hAnsi="Times New Roman"/>
          <w:bCs/>
          <w:color w:val="111111"/>
          <w:sz w:val="28"/>
          <w:szCs w:val="28"/>
        </w:rPr>
        <w:t xml:space="preserve">,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расположе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нных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на межселенной территории муниципального образования 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>Палочкин</w:t>
      </w:r>
      <w:r w:rsidR="003D5F1B">
        <w:rPr>
          <w:rFonts w:ascii="Times New Roman" w:hAnsi="Times New Roman"/>
          <w:bCs/>
          <w:color w:val="111111"/>
          <w:sz w:val="28"/>
          <w:szCs w:val="28"/>
        </w:rPr>
        <w:t xml:space="preserve">ское 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3D5F1B">
        <w:rPr>
          <w:rFonts w:ascii="Times New Roman" w:hAnsi="Times New Roman"/>
          <w:bCs/>
          <w:color w:val="111111"/>
          <w:sz w:val="28"/>
          <w:szCs w:val="28"/>
        </w:rPr>
        <w:t>ское поселение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 xml:space="preserve"> Верхнекетского района Томской области 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 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муниципальный земельный контроль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на межселенной территории муниципального образования 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>Палочкин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ское 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>ское поселение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 xml:space="preserve"> Верхнекетского района Томской области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земельного контроля на межселенной территории муниципального образования 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>Палочкин</w:t>
      </w:r>
      <w:r w:rsidR="003D5F1B">
        <w:rPr>
          <w:rFonts w:ascii="Times New Roman" w:hAnsi="Times New Roman"/>
          <w:bCs/>
          <w:color w:val="111111"/>
          <w:sz w:val="28"/>
          <w:szCs w:val="28"/>
        </w:rPr>
        <w:t xml:space="preserve">ское 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3D5F1B">
        <w:rPr>
          <w:rFonts w:ascii="Times New Roman" w:hAnsi="Times New Roman"/>
          <w:bCs/>
          <w:color w:val="111111"/>
          <w:sz w:val="28"/>
          <w:szCs w:val="28"/>
        </w:rPr>
        <w:t>ское поселение</w:t>
      </w:r>
      <w:bookmarkStart w:id="0" w:name="_GoBack"/>
      <w:bookmarkEnd w:id="0"/>
      <w:r w:rsidR="004D504B">
        <w:rPr>
          <w:rFonts w:ascii="Times New Roman" w:hAnsi="Times New Roman"/>
          <w:bCs/>
          <w:color w:val="111111"/>
          <w:sz w:val="28"/>
          <w:szCs w:val="28"/>
        </w:rPr>
        <w:t xml:space="preserve"> Верхнекетского района Томской области 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являются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B01AB2" w:rsidRDefault="005F4581" w:rsidP="005F458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земельный контроль</w:t>
      </w:r>
      <w:r w:rsidR="004D504B">
        <w:rPr>
          <w:rFonts w:ascii="Times New Roman" w:hAnsi="Times New Roman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sz w:val="28"/>
          <w:szCs w:val="28"/>
        </w:rPr>
        <w:t xml:space="preserve">на межселенной территории муниципального образования </w:t>
      </w:r>
      <w:r w:rsidR="004D504B">
        <w:rPr>
          <w:rFonts w:ascii="Times New Roman" w:hAnsi="Times New Roman"/>
          <w:sz w:val="28"/>
          <w:szCs w:val="28"/>
        </w:rPr>
        <w:t>Палочкин</w:t>
      </w:r>
      <w:r w:rsidR="000F03C4">
        <w:rPr>
          <w:rFonts w:ascii="Times New Roman" w:hAnsi="Times New Roman"/>
          <w:sz w:val="28"/>
          <w:szCs w:val="28"/>
        </w:rPr>
        <w:t xml:space="preserve">ское </w:t>
      </w:r>
      <w:r w:rsidR="004D504B">
        <w:rPr>
          <w:rFonts w:ascii="Times New Roman" w:hAnsi="Times New Roman"/>
          <w:sz w:val="28"/>
          <w:szCs w:val="28"/>
        </w:rPr>
        <w:t>сель</w:t>
      </w:r>
      <w:r w:rsidR="000F03C4">
        <w:rPr>
          <w:rFonts w:ascii="Times New Roman" w:hAnsi="Times New Roman"/>
          <w:sz w:val="28"/>
          <w:szCs w:val="28"/>
        </w:rPr>
        <w:t>ское поселение</w:t>
      </w:r>
      <w:r w:rsidR="004D504B" w:rsidRPr="004D504B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 xml:space="preserve">Верхнекетского района Томской области  </w:t>
      </w:r>
      <w:r w:rsidR="004D504B">
        <w:rPr>
          <w:rFonts w:ascii="Times New Roman" w:hAnsi="Times New Roman"/>
          <w:sz w:val="28"/>
          <w:szCs w:val="28"/>
        </w:rPr>
        <w:t xml:space="preserve"> 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</w:p>
    <w:p w:rsidR="00B01AB2" w:rsidRPr="00C565AA" w:rsidRDefault="004D504B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F3BE5" w:rsidRPr="00BF3BE5">
        <w:rPr>
          <w:rFonts w:ascii="Times New Roman" w:hAnsi="Times New Roman"/>
          <w:sz w:val="28"/>
          <w:szCs w:val="28"/>
        </w:rPr>
        <w:t xml:space="preserve">Земельным кодексом Российской Федерации; </w:t>
      </w:r>
    </w:p>
    <w:p w:rsidR="00B01AB2" w:rsidRPr="00C565AA" w:rsidRDefault="004D504B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1AB2"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4D504B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1AB2"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B01AB2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4D504B" w:rsidP="00A536E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Палочкин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ского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сель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ского поселения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30</w:t>
      </w:r>
      <w:r w:rsidR="00B01AB2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18352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B01AB2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021 №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18 </w:t>
      </w:r>
      <w:r w:rsidR="00B01A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A536E4" w:rsidRPr="00A536E4">
        <w:rPr>
          <w:rFonts w:ascii="Times New Roman" w:hAnsi="Times New Roman"/>
          <w:sz w:val="28"/>
          <w:szCs w:val="28"/>
        </w:rPr>
        <w:t>Об утвержд</w:t>
      </w:r>
      <w:r w:rsidR="00A536E4">
        <w:rPr>
          <w:rFonts w:ascii="Times New Roman" w:hAnsi="Times New Roman"/>
          <w:sz w:val="28"/>
          <w:szCs w:val="28"/>
        </w:rPr>
        <w:t xml:space="preserve">ении Положения о муниципальном </w:t>
      </w:r>
      <w:r w:rsidR="00A536E4" w:rsidRPr="00A536E4">
        <w:rPr>
          <w:rFonts w:ascii="Times New Roman" w:hAnsi="Times New Roman"/>
          <w:sz w:val="28"/>
          <w:szCs w:val="28"/>
        </w:rPr>
        <w:t>земельном контроле на межселе</w:t>
      </w:r>
      <w:r w:rsidR="00A536E4">
        <w:rPr>
          <w:rFonts w:ascii="Times New Roman" w:hAnsi="Times New Roman"/>
          <w:sz w:val="28"/>
          <w:szCs w:val="28"/>
        </w:rPr>
        <w:t xml:space="preserve">нной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Палочкин</w:t>
      </w:r>
      <w:r w:rsidR="000F03C4">
        <w:rPr>
          <w:rFonts w:ascii="Times New Roman" w:hAnsi="Times New Roman"/>
          <w:sz w:val="28"/>
          <w:szCs w:val="28"/>
        </w:rPr>
        <w:t xml:space="preserve">ское </w:t>
      </w:r>
      <w:r>
        <w:rPr>
          <w:rFonts w:ascii="Times New Roman" w:hAnsi="Times New Roman"/>
          <w:sz w:val="28"/>
          <w:szCs w:val="28"/>
        </w:rPr>
        <w:t>сель</w:t>
      </w:r>
      <w:r w:rsidR="000F03C4">
        <w:rPr>
          <w:rFonts w:ascii="Times New Roman" w:hAnsi="Times New Roman"/>
          <w:sz w:val="28"/>
          <w:szCs w:val="28"/>
        </w:rPr>
        <w:t>ское поселение</w:t>
      </w:r>
      <w:r w:rsidRPr="004D504B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Верхнекетского района Томской области  </w:t>
      </w:r>
      <w:r w:rsidR="00A536E4">
        <w:rPr>
          <w:rFonts w:ascii="Times New Roman" w:hAnsi="Times New Roman"/>
          <w:sz w:val="28"/>
          <w:szCs w:val="28"/>
        </w:rPr>
        <w:t>».</w:t>
      </w:r>
    </w:p>
    <w:p w:rsidR="00363A9E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. Целью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П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редупреждение нарушений, подконтрольными субъектами обязательных требований </w:t>
      </w:r>
      <w:r w:rsidRPr="000F03C4">
        <w:rPr>
          <w:rFonts w:ascii="Times New Roman" w:hAnsi="Times New Roman"/>
          <w:bCs/>
          <w:sz w:val="28"/>
          <w:szCs w:val="28"/>
        </w:rPr>
        <w:t xml:space="preserve">земельного </w:t>
      </w:r>
      <w:r w:rsidR="00B01AB2" w:rsidRPr="000F03C4">
        <w:rPr>
          <w:rFonts w:ascii="Times New Roman" w:hAnsi="Times New Roman"/>
          <w:bCs/>
          <w:sz w:val="28"/>
          <w:szCs w:val="28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0F03C4">
        <w:rPr>
          <w:rFonts w:ascii="Times New Roman" w:hAnsi="Times New Roman"/>
          <w:bCs/>
          <w:sz w:val="28"/>
          <w:szCs w:val="28"/>
        </w:rPr>
        <w:t xml:space="preserve"> земельного законодательства</w:t>
      </w:r>
      <w:r w:rsidR="00B01AB2" w:rsidRPr="000F03C4">
        <w:rPr>
          <w:rFonts w:ascii="Times New Roman" w:hAnsi="Times New Roman"/>
          <w:bCs/>
          <w:sz w:val="28"/>
          <w:szCs w:val="28"/>
        </w:rPr>
        <w:t>.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</w:t>
      </w:r>
      <w:r w:rsidR="00B01AB2" w:rsidRPr="000F03C4">
        <w:rPr>
          <w:rFonts w:ascii="Times New Roman" w:hAnsi="Times New Roman"/>
          <w:bCs/>
          <w:sz w:val="28"/>
          <w:szCs w:val="28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</w:t>
      </w:r>
      <w:r w:rsidR="00B01AB2" w:rsidRPr="000F03C4">
        <w:rPr>
          <w:rFonts w:ascii="Times New Roman" w:hAnsi="Times New Roman"/>
          <w:bCs/>
          <w:sz w:val="28"/>
          <w:szCs w:val="28"/>
        </w:rPr>
        <w:t>) Выявление причин, факторов и условий, способствующих нарушениям обязательных требований.</w:t>
      </w:r>
    </w:p>
    <w:p w:rsidR="00363A9E" w:rsidRPr="000F03C4" w:rsidRDefault="00363A9E" w:rsidP="00363A9E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Default="005F4581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>земельного контроля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на межселенной территории муниципального образования 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>Палочкинского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>ского поселения</w:t>
      </w:r>
      <w:r w:rsidR="004D504B" w:rsidRPr="004D504B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 xml:space="preserve">Верхнекетского района Томской области  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на межселенной территории муниципального образования 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>Палочкин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ское 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>ское поселение</w:t>
      </w:r>
      <w:r w:rsidR="004D504B" w:rsidRPr="004D504B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>Верхнекетского района Томской области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3) принцип обязательности - строгая необходимость проведения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>Палочкин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ского </w:t>
      </w:r>
      <w:r w:rsidR="004D504B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>ского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обязательных требований </w:t>
      </w:r>
      <w:r w:rsidR="00C953AF">
        <w:rPr>
          <w:rFonts w:ascii="Times New Roman" w:hAnsi="Times New Roman"/>
          <w:bCs/>
          <w:color w:val="111111"/>
          <w:sz w:val="28"/>
          <w:szCs w:val="28"/>
        </w:rPr>
        <w:t xml:space="preserve">земельного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законодательства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r w:rsidR="004D504B">
              <w:rPr>
                <w:sz w:val="28"/>
                <w:szCs w:val="28"/>
              </w:rPr>
              <w:t>Верхнекетского района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>
              <w:rPr>
                <w:sz w:val="28"/>
                <w:szCs w:val="28"/>
              </w:rPr>
              <w:t>земельного контроля</w:t>
            </w:r>
            <w:r w:rsidR="004D504B">
              <w:rPr>
                <w:sz w:val="28"/>
                <w:szCs w:val="28"/>
              </w:rPr>
              <w:t xml:space="preserve"> </w:t>
            </w:r>
            <w:r w:rsidR="00A536E4" w:rsidRPr="00A536E4">
              <w:rPr>
                <w:sz w:val="28"/>
                <w:szCs w:val="28"/>
              </w:rPr>
              <w:t xml:space="preserve">на межселенной территории муниципального образования </w:t>
            </w:r>
            <w:r w:rsidR="004D504B">
              <w:rPr>
                <w:sz w:val="28"/>
                <w:szCs w:val="28"/>
              </w:rPr>
              <w:t>Палочкин</w:t>
            </w:r>
            <w:r w:rsidR="000F03C4">
              <w:rPr>
                <w:sz w:val="28"/>
                <w:szCs w:val="28"/>
              </w:rPr>
              <w:t xml:space="preserve">ское </w:t>
            </w:r>
            <w:r w:rsidR="004D504B">
              <w:rPr>
                <w:sz w:val="28"/>
                <w:szCs w:val="28"/>
              </w:rPr>
              <w:t>сель</w:t>
            </w:r>
            <w:r w:rsidR="000F03C4">
              <w:rPr>
                <w:sz w:val="28"/>
                <w:szCs w:val="28"/>
              </w:rPr>
              <w:t>ское поселение</w:t>
            </w:r>
            <w:r w:rsidR="004D504B">
              <w:rPr>
                <w:bCs/>
                <w:color w:val="111111"/>
                <w:sz w:val="28"/>
                <w:szCs w:val="28"/>
              </w:rPr>
              <w:t xml:space="preserve"> Верхнекетского района Томской области  </w:t>
            </w:r>
            <w:r w:rsidR="007A0B0A">
              <w:rPr>
                <w:sz w:val="28"/>
                <w:szCs w:val="28"/>
              </w:rPr>
              <w:t>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течении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lastRenderedPageBreak/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4D504B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по телефону, посредством видео-</w:t>
            </w:r>
            <w:r w:rsidR="004D504B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lastRenderedPageBreak/>
              <w:t xml:space="preserve">Постоянно с учетом </w:t>
            </w:r>
            <w:r w:rsidRPr="00810019">
              <w:rPr>
                <w:sz w:val="28"/>
                <w:szCs w:val="28"/>
              </w:rPr>
              <w:lastRenderedPageBreak/>
              <w:t>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 xml:space="preserve">посредством размещения сведений, предусмотренных частью 3 статьи 46 Федерального закона248-ФЗ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631AB3">
              <w:rPr>
                <w:sz w:val="28"/>
                <w:szCs w:val="28"/>
              </w:rPr>
              <w:t>Верхнекетского района</w:t>
            </w:r>
            <w:r w:rsidR="007F29BC"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FE3986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6A1536">
              <w:rPr>
                <w:rFonts w:ascii="Times New Roman" w:hAnsi="Times New Roman"/>
                <w:sz w:val="28"/>
                <w:szCs w:val="28"/>
              </w:rPr>
              <w:t>земельного контроля</w:t>
            </w:r>
            <w:r w:rsidR="00A349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36E4" w:rsidRPr="00A536E4">
              <w:rPr>
                <w:rFonts w:ascii="Times New Roman" w:hAnsi="Times New Roman"/>
                <w:sz w:val="28"/>
                <w:szCs w:val="28"/>
              </w:rPr>
              <w:t xml:space="preserve">на межселенной территории муниципального образования </w:t>
            </w:r>
            <w:r w:rsidR="004D504B">
              <w:rPr>
                <w:rFonts w:ascii="Times New Roman" w:hAnsi="Times New Roman"/>
                <w:sz w:val="28"/>
                <w:szCs w:val="28"/>
              </w:rPr>
              <w:t>Палочкин</w:t>
            </w:r>
            <w:r w:rsidR="003F3CC5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="004D504B">
              <w:rPr>
                <w:rFonts w:ascii="Times New Roman" w:hAnsi="Times New Roman"/>
                <w:sz w:val="28"/>
                <w:szCs w:val="28"/>
              </w:rPr>
              <w:t>сель</w:t>
            </w:r>
            <w:r w:rsidR="003F3CC5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  <w:r w:rsidR="00A349B6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 Верхнекетского района Томской области</w:t>
            </w:r>
            <w:r w:rsidR="00A349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A349B6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r w:rsidR="00A349B6">
              <w:rPr>
                <w:sz w:val="28"/>
                <w:szCs w:val="28"/>
              </w:rPr>
              <w:t>Верхнекетского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3F3CC5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="00A349B6">
              <w:rPr>
                <w:sz w:val="28"/>
                <w:szCs w:val="28"/>
              </w:rPr>
              <w:t>Верхнекетского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7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A4" w:rsidRDefault="00A12FA4" w:rsidP="00786787">
      <w:r>
        <w:separator/>
      </w:r>
    </w:p>
  </w:endnote>
  <w:endnote w:type="continuationSeparator" w:id="1">
    <w:p w:rsidR="00A12FA4" w:rsidRDefault="00A12FA4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A4" w:rsidRDefault="00A12FA4" w:rsidP="00786787">
      <w:r>
        <w:separator/>
      </w:r>
    </w:p>
  </w:footnote>
  <w:footnote w:type="continuationSeparator" w:id="1">
    <w:p w:rsidR="00A12FA4" w:rsidRDefault="00A12FA4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784A6E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C37434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04B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31AB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4A6E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12FA4"/>
    <w:rsid w:val="00A20615"/>
    <w:rsid w:val="00A346C4"/>
    <w:rsid w:val="00A349B6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37434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1A78-4247-45D4-BCCD-14D50B18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Палочка</cp:lastModifiedBy>
  <cp:revision>2</cp:revision>
  <cp:lastPrinted>2020-04-08T08:26:00Z</cp:lastPrinted>
  <dcterms:created xsi:type="dcterms:W3CDTF">2021-12-13T10:14:00Z</dcterms:created>
  <dcterms:modified xsi:type="dcterms:W3CDTF">2021-12-13T10:14:00Z</dcterms:modified>
</cp:coreProperties>
</file>